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66F3" w14:textId="467EFE71" w:rsidR="00DB3823" w:rsidRDefault="00DB3823" w:rsidP="00D541E5">
      <w:pPr>
        <w:widowControl w:val="0"/>
        <w:ind w:left="6804"/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6E9441" wp14:editId="13EABBCD">
            <wp:simplePos x="0" y="0"/>
            <wp:positionH relativeFrom="column">
              <wp:posOffset>628650</wp:posOffset>
            </wp:positionH>
            <wp:positionV relativeFrom="paragraph">
              <wp:posOffset>-114300</wp:posOffset>
            </wp:positionV>
            <wp:extent cx="504825" cy="504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95085D" wp14:editId="10C728DC">
            <wp:simplePos x="0" y="0"/>
            <wp:positionH relativeFrom="column">
              <wp:posOffset>104775</wp:posOffset>
            </wp:positionH>
            <wp:positionV relativeFrom="paragraph">
              <wp:posOffset>-104775</wp:posOffset>
            </wp:positionV>
            <wp:extent cx="400050" cy="504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92FA30" wp14:editId="44065E13">
            <wp:simplePos x="0" y="0"/>
            <wp:positionH relativeFrom="leftMargin">
              <wp:align>right</wp:align>
            </wp:positionH>
            <wp:positionV relativeFrom="paragraph">
              <wp:posOffset>-114300</wp:posOffset>
            </wp:positionV>
            <wp:extent cx="419100" cy="5048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14:paraId="727285B7" w14:textId="1EEA1E17" w:rsidR="00C9760E" w:rsidRDefault="00C9760E" w:rsidP="00D541E5">
      <w:pPr>
        <w:widowControl w:val="0"/>
        <w:ind w:left="680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Review: Jan 2023</w:t>
      </w:r>
      <w:r w:rsidR="00DB3823" w:rsidRPr="00ED6272">
        <w:rPr>
          <w:rFonts w:cs="Arial"/>
          <w:sz w:val="20"/>
          <w:szCs w:val="20"/>
        </w:rPr>
        <w:t xml:space="preserve"> </w:t>
      </w:r>
    </w:p>
    <w:p w14:paraId="13BA57E5" w14:textId="5811FE6F" w:rsidR="00C9760E" w:rsidRDefault="00670450" w:rsidP="00C9760E">
      <w:pPr>
        <w:widowControl w:val="0"/>
        <w:ind w:left="6804"/>
        <w:rPr>
          <w:rFonts w:cs="Arial"/>
          <w:sz w:val="20"/>
          <w:szCs w:val="20"/>
        </w:rPr>
      </w:pPr>
      <w:r w:rsidRPr="00ED6272">
        <w:rPr>
          <w:rFonts w:cs="Arial"/>
          <w:sz w:val="20"/>
          <w:szCs w:val="20"/>
        </w:rPr>
        <w:t xml:space="preserve">Next Review: Jan </w:t>
      </w:r>
      <w:r w:rsidR="00D541E5" w:rsidRPr="00ED6272">
        <w:rPr>
          <w:rFonts w:cs="Arial"/>
          <w:sz w:val="20"/>
          <w:szCs w:val="20"/>
        </w:rPr>
        <w:t>202</w:t>
      </w:r>
      <w:r w:rsidR="00582462" w:rsidRPr="00ED6272">
        <w:rPr>
          <w:rFonts w:cs="Arial"/>
          <w:sz w:val="20"/>
          <w:szCs w:val="20"/>
        </w:rPr>
        <w:t>4</w:t>
      </w:r>
    </w:p>
    <w:p w14:paraId="455AD113" w14:textId="77777777" w:rsidR="00C9760E" w:rsidRPr="00ED6272" w:rsidRDefault="00C9760E" w:rsidP="00C9760E">
      <w:pPr>
        <w:widowControl w:val="0"/>
        <w:ind w:left="6804"/>
        <w:rPr>
          <w:rFonts w:cs="Arial"/>
          <w:sz w:val="20"/>
          <w:szCs w:val="20"/>
        </w:rPr>
      </w:pPr>
    </w:p>
    <w:p w14:paraId="0575AF6D" w14:textId="77777777" w:rsidR="00DB3823" w:rsidRDefault="00DB3823" w:rsidP="00DB3823">
      <w:pPr>
        <w:widowControl w:val="0"/>
        <w:rPr>
          <w:rFonts w:cs="Arial"/>
          <w:b/>
          <w:sz w:val="22"/>
          <w:szCs w:val="22"/>
          <w:u w:val="single"/>
        </w:rPr>
      </w:pPr>
    </w:p>
    <w:p w14:paraId="499BDD00" w14:textId="72BADB22" w:rsidR="00D541E5" w:rsidRPr="00DB3823" w:rsidRDefault="00CA76A6" w:rsidP="00DB3823">
      <w:pPr>
        <w:widowControl w:val="0"/>
        <w:ind w:left="-709"/>
        <w:rPr>
          <w:rFonts w:cs="Arial"/>
          <w:b/>
          <w:color w:val="C00000"/>
          <w:sz w:val="22"/>
          <w:szCs w:val="22"/>
        </w:rPr>
      </w:pPr>
      <w:r w:rsidRPr="00DB3823">
        <w:rPr>
          <w:rFonts w:cs="Arial"/>
          <w:b/>
          <w:color w:val="C00000"/>
          <w:sz w:val="22"/>
          <w:szCs w:val="22"/>
        </w:rPr>
        <w:t xml:space="preserve">MARITIME INTELLIGENCE FUSION CENTRE (MIFC) </w:t>
      </w:r>
      <w:r w:rsidR="00D541E5" w:rsidRPr="00DB3823">
        <w:rPr>
          <w:rFonts w:cs="Arial"/>
          <w:b/>
          <w:color w:val="C00000"/>
          <w:sz w:val="22"/>
          <w:szCs w:val="22"/>
        </w:rPr>
        <w:t>TERMS OF REFERENCE</w:t>
      </w:r>
    </w:p>
    <w:p w14:paraId="7B7A271B" w14:textId="77777777" w:rsidR="00D541E5" w:rsidRPr="00DB3823" w:rsidRDefault="00D541E5" w:rsidP="00D541E5">
      <w:pPr>
        <w:widowControl w:val="0"/>
        <w:ind w:left="284" w:right="-143"/>
        <w:jc w:val="center"/>
        <w:rPr>
          <w:rFonts w:cs="Arial"/>
          <w:b/>
          <w:sz w:val="22"/>
          <w:szCs w:val="22"/>
        </w:rPr>
      </w:pPr>
    </w:p>
    <w:tbl>
      <w:tblPr>
        <w:tblW w:w="9968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7513"/>
      </w:tblGrid>
      <w:tr w:rsidR="00D541E5" w:rsidRPr="00ED6272" w14:paraId="31FD9D3B" w14:textId="77777777" w:rsidTr="006355C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3B3C69" w14:textId="77777777" w:rsidR="00D541E5" w:rsidRPr="00ED6272" w:rsidRDefault="00D541E5" w:rsidP="009E6C00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D6272">
              <w:rPr>
                <w:rFonts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3687" w14:textId="7BAFE98D" w:rsidR="004371BA" w:rsidRPr="00ED6272" w:rsidRDefault="00582462" w:rsidP="00582462">
            <w:pPr>
              <w:rPr>
                <w:rFonts w:cs="Arial"/>
                <w:color w:val="000000"/>
                <w:sz w:val="22"/>
                <w:szCs w:val="22"/>
              </w:rPr>
            </w:pPr>
            <w:r w:rsidRPr="00ED6272">
              <w:rPr>
                <w:rFonts w:cs="Arial"/>
                <w:color w:val="000000"/>
                <w:sz w:val="22"/>
                <w:szCs w:val="22"/>
              </w:rPr>
              <w:t xml:space="preserve">MIFC DIRSUP IXC </w:t>
            </w:r>
            <w:r w:rsidR="007816F2">
              <w:rPr>
                <w:rFonts w:cs="Arial"/>
                <w:color w:val="000000"/>
                <w:sz w:val="22"/>
                <w:szCs w:val="22"/>
              </w:rPr>
              <w:t>XX</w:t>
            </w:r>
          </w:p>
        </w:tc>
      </w:tr>
      <w:tr w:rsidR="006113B7" w:rsidRPr="00ED6272" w14:paraId="5301BF6A" w14:textId="77777777" w:rsidTr="000A0D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859F25" w14:textId="136980D0" w:rsidR="006113B7" w:rsidRPr="00ED6272" w:rsidRDefault="006113B7" w:rsidP="009E6C00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D6272">
              <w:rPr>
                <w:rFonts w:cs="Arial"/>
                <w:b/>
                <w:sz w:val="22"/>
                <w:szCs w:val="22"/>
              </w:rPr>
              <w:t>JPA Number (JPAN)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FEB" w14:textId="73C0ADFA" w:rsidR="006113B7" w:rsidRPr="006355C5" w:rsidRDefault="007816F2" w:rsidP="006355C5">
            <w:pPr>
              <w:widowControl w:val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6113B7" w:rsidRPr="00ED6272" w14:paraId="6D21348C" w14:textId="77777777" w:rsidTr="00B6488F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A19E7" w14:textId="6C5DC894" w:rsidR="006113B7" w:rsidRPr="00ED6272" w:rsidRDefault="006113B7" w:rsidP="006113B7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D6272">
              <w:rPr>
                <w:rFonts w:cs="Arial"/>
                <w:b/>
                <w:sz w:val="22"/>
                <w:szCs w:val="22"/>
              </w:rPr>
              <w:t>Rank/Grade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9E8" w14:textId="6A08A624" w:rsidR="006113B7" w:rsidRPr="00ED6272" w:rsidRDefault="006113B7" w:rsidP="006113B7">
            <w:pPr>
              <w:widowControl w:val="0"/>
              <w:rPr>
                <w:rFonts w:cs="Arial"/>
                <w:sz w:val="22"/>
                <w:szCs w:val="22"/>
              </w:rPr>
            </w:pPr>
            <w:r w:rsidRPr="00ED6272">
              <w:rPr>
                <w:rFonts w:cs="Arial"/>
                <w:sz w:val="22"/>
                <w:szCs w:val="22"/>
              </w:rPr>
              <w:t>OR6 - OR7 RN</w:t>
            </w:r>
          </w:p>
        </w:tc>
      </w:tr>
      <w:tr w:rsidR="006113B7" w:rsidRPr="00ED6272" w14:paraId="694907A2" w14:textId="77777777" w:rsidTr="006355C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41612C" w14:textId="77777777" w:rsidR="006113B7" w:rsidRPr="00ED6272" w:rsidRDefault="006113B7" w:rsidP="006113B7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D6272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88FB" w14:textId="732D9F50" w:rsidR="006113B7" w:rsidRPr="00ED6272" w:rsidRDefault="006113B7" w:rsidP="006113B7">
            <w:pPr>
              <w:widowControl w:val="0"/>
              <w:rPr>
                <w:rFonts w:cs="Arial"/>
                <w:sz w:val="22"/>
                <w:szCs w:val="22"/>
              </w:rPr>
            </w:pPr>
            <w:r w:rsidRPr="00ED6272">
              <w:rPr>
                <w:rFonts w:cs="Arial"/>
                <w:sz w:val="22"/>
                <w:szCs w:val="22"/>
              </w:rPr>
              <w:t>Maritime Intelligence Fusion Centre (MIFC)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ED6272">
              <w:rPr>
                <w:rFonts w:cs="Arial"/>
                <w:sz w:val="22"/>
                <w:szCs w:val="22"/>
              </w:rPr>
              <w:t xml:space="preserve">RAF </w:t>
            </w:r>
            <w:proofErr w:type="spellStart"/>
            <w:r w:rsidRPr="00ED6272">
              <w:rPr>
                <w:rFonts w:cs="Arial"/>
                <w:sz w:val="22"/>
                <w:szCs w:val="22"/>
              </w:rPr>
              <w:t>Wyton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Pr="00ED6272">
              <w:rPr>
                <w:rFonts w:cs="Arial"/>
                <w:sz w:val="22"/>
                <w:szCs w:val="22"/>
              </w:rPr>
              <w:t>PE28 2EA</w:t>
            </w:r>
          </w:p>
        </w:tc>
      </w:tr>
      <w:tr w:rsidR="006113B7" w:rsidRPr="00ED6272" w14:paraId="1000FEEB" w14:textId="77777777" w:rsidTr="006355C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1136BF" w14:textId="2705008B" w:rsidR="006113B7" w:rsidRPr="00ED6272" w:rsidRDefault="006113B7" w:rsidP="006113B7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1RO / </w:t>
            </w:r>
            <w:r w:rsidRPr="006113B7">
              <w:rPr>
                <w:rFonts w:cs="Arial"/>
                <w:b/>
                <w:color w:val="0000FF"/>
                <w:sz w:val="22"/>
                <w:szCs w:val="22"/>
              </w:rPr>
              <w:t>2RO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D4C" w14:textId="52AE6ECA" w:rsidR="006113B7" w:rsidRPr="00ED6272" w:rsidRDefault="006113B7" w:rsidP="006113B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MIFC Team Leader / </w:t>
            </w:r>
            <w:r w:rsidRPr="006113B7">
              <w:rPr>
                <w:rFonts w:cs="Arial"/>
                <w:color w:val="0000FF"/>
                <w:sz w:val="22"/>
                <w:szCs w:val="22"/>
              </w:rPr>
              <w:t>OC MIFC</w:t>
            </w:r>
          </w:p>
        </w:tc>
      </w:tr>
      <w:tr w:rsidR="006113B7" w:rsidRPr="00ED6272" w14:paraId="1CE4C9D9" w14:textId="77777777" w:rsidTr="006355C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6542C5" w14:textId="23F5DFCF" w:rsidR="006113B7" w:rsidRPr="00ED6272" w:rsidRDefault="006113B7" w:rsidP="006113B7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D6272">
              <w:rPr>
                <w:rFonts w:cs="Arial"/>
                <w:b/>
                <w:sz w:val="22"/>
                <w:szCs w:val="22"/>
              </w:rPr>
              <w:t>Overview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36A" w14:textId="77F35404" w:rsidR="006113B7" w:rsidRPr="00485875" w:rsidRDefault="006113B7" w:rsidP="006113B7">
            <w:pPr>
              <w:widowControl w:val="0"/>
              <w:rPr>
                <w:rFonts w:cs="Arial"/>
                <w:sz w:val="22"/>
                <w:szCs w:val="22"/>
              </w:rPr>
            </w:pPr>
            <w:r w:rsidRPr="00485875">
              <w:rPr>
                <w:rFonts w:cs="Arial"/>
                <w:sz w:val="22"/>
                <w:szCs w:val="22"/>
              </w:rPr>
              <w:t>The</w:t>
            </w:r>
            <w:r w:rsidR="009653D8">
              <w:rPr>
                <w:rFonts w:cs="Arial"/>
                <w:sz w:val="22"/>
                <w:szCs w:val="22"/>
              </w:rPr>
              <w:t xml:space="preserve"> primary role of an</w:t>
            </w:r>
            <w:r w:rsidRPr="00485875">
              <w:rPr>
                <w:rFonts w:cs="Arial"/>
                <w:sz w:val="22"/>
                <w:szCs w:val="22"/>
              </w:rPr>
              <w:t xml:space="preserve"> Information Exploitation Co-ordinator (IXC) is</w:t>
            </w:r>
            <w:r w:rsidR="009653D8">
              <w:rPr>
                <w:rFonts w:cs="Arial"/>
                <w:sz w:val="22"/>
                <w:szCs w:val="22"/>
              </w:rPr>
              <w:t xml:space="preserve"> to be</w:t>
            </w:r>
            <w:r w:rsidRPr="00485875">
              <w:rPr>
                <w:rFonts w:cs="Arial"/>
                <w:sz w:val="22"/>
                <w:szCs w:val="22"/>
              </w:rPr>
              <w:t xml:space="preserve"> a deployable analyst that augments a </w:t>
            </w:r>
            <w:r w:rsidR="007816F2">
              <w:rPr>
                <w:rFonts w:cs="Arial"/>
                <w:sz w:val="22"/>
                <w:szCs w:val="22"/>
              </w:rPr>
              <w:t>U</w:t>
            </w:r>
            <w:r w:rsidRPr="00485875">
              <w:rPr>
                <w:rFonts w:cs="Arial"/>
                <w:sz w:val="22"/>
                <w:szCs w:val="22"/>
              </w:rPr>
              <w:t xml:space="preserve">nit’s organic N2 capability, enhancing the intelligence support to a platform’s </w:t>
            </w:r>
            <w:r w:rsidR="007816F2">
              <w:rPr>
                <w:rFonts w:cs="Arial"/>
                <w:sz w:val="22"/>
                <w:szCs w:val="22"/>
              </w:rPr>
              <w:t>C</w:t>
            </w:r>
            <w:r w:rsidRPr="00485875">
              <w:rPr>
                <w:rFonts w:cs="Arial"/>
                <w:sz w:val="22"/>
                <w:szCs w:val="22"/>
              </w:rPr>
              <w:t>ommand team</w:t>
            </w:r>
            <w:r w:rsidR="009653D8">
              <w:rPr>
                <w:rFonts w:cs="Arial"/>
                <w:sz w:val="22"/>
                <w:szCs w:val="22"/>
              </w:rPr>
              <w:t xml:space="preserve"> </w:t>
            </w:r>
            <w:r w:rsidR="009653D8" w:rsidRPr="009653D8">
              <w:rPr>
                <w:rFonts w:cs="Arial"/>
                <w:sz w:val="22"/>
                <w:szCs w:val="22"/>
              </w:rPr>
              <w:t>to enable more informed decision</w:t>
            </w:r>
            <w:r w:rsidR="009653D8">
              <w:rPr>
                <w:rFonts w:cs="Arial"/>
                <w:sz w:val="22"/>
                <w:szCs w:val="22"/>
              </w:rPr>
              <w:t>-</w:t>
            </w:r>
            <w:r w:rsidR="009653D8" w:rsidRPr="009653D8">
              <w:rPr>
                <w:rFonts w:cs="Arial"/>
                <w:sz w:val="22"/>
                <w:szCs w:val="22"/>
              </w:rPr>
              <w:t>making centred on a clear understanding of the Command intent</w:t>
            </w:r>
            <w:r w:rsidR="00C36212">
              <w:rPr>
                <w:rFonts w:cs="Arial"/>
                <w:sz w:val="22"/>
                <w:szCs w:val="22"/>
              </w:rPr>
              <w:t>. U</w:t>
            </w:r>
            <w:r w:rsidR="00D54764" w:rsidRPr="00D54764">
              <w:rPr>
                <w:rFonts w:cs="Arial"/>
                <w:sz w:val="22"/>
                <w:szCs w:val="22"/>
              </w:rPr>
              <w:t>nits with limited organic N2 support</w:t>
            </w:r>
            <w:r w:rsidR="00C36212">
              <w:rPr>
                <w:rFonts w:cs="Arial"/>
                <w:sz w:val="22"/>
                <w:szCs w:val="22"/>
              </w:rPr>
              <w:t xml:space="preserve"> are to be prioritised</w:t>
            </w:r>
            <w:r w:rsidR="005E2CBA">
              <w:rPr>
                <w:rFonts w:cs="Arial"/>
                <w:sz w:val="22"/>
                <w:szCs w:val="22"/>
              </w:rPr>
              <w:t xml:space="preserve">, followed by singleton deployers, </w:t>
            </w:r>
            <w:r w:rsidR="00D15ABC">
              <w:rPr>
                <w:rFonts w:cs="Arial"/>
                <w:sz w:val="22"/>
                <w:szCs w:val="22"/>
              </w:rPr>
              <w:t xml:space="preserve">and then MTG escort Units, </w:t>
            </w:r>
            <w:r w:rsidR="00767488">
              <w:rPr>
                <w:rFonts w:cs="Arial"/>
                <w:sz w:val="22"/>
                <w:szCs w:val="22"/>
              </w:rPr>
              <w:t xml:space="preserve">if </w:t>
            </w:r>
            <w:r w:rsidR="00B36DB6">
              <w:rPr>
                <w:rFonts w:cs="Arial"/>
                <w:sz w:val="22"/>
                <w:szCs w:val="22"/>
              </w:rPr>
              <w:t xml:space="preserve">analytical </w:t>
            </w:r>
            <w:r w:rsidR="00767488">
              <w:rPr>
                <w:rFonts w:cs="Arial"/>
                <w:sz w:val="22"/>
                <w:szCs w:val="22"/>
              </w:rPr>
              <w:t>capacity allows</w:t>
            </w:r>
            <w:r w:rsidRPr="00D54764">
              <w:rPr>
                <w:rFonts w:cs="Arial"/>
                <w:sz w:val="22"/>
                <w:szCs w:val="22"/>
              </w:rPr>
              <w:t xml:space="preserve">. </w:t>
            </w:r>
            <w:r w:rsidR="009653D8">
              <w:rPr>
                <w:rFonts w:cs="Arial"/>
                <w:sz w:val="22"/>
                <w:szCs w:val="22"/>
              </w:rPr>
              <w:t>The</w:t>
            </w:r>
            <w:r w:rsidR="00C36212">
              <w:rPr>
                <w:rFonts w:cs="Arial"/>
                <w:sz w:val="22"/>
                <w:szCs w:val="22"/>
              </w:rPr>
              <w:t xml:space="preserve"> IXC’s</w:t>
            </w:r>
            <w:r w:rsidR="009653D8">
              <w:rPr>
                <w:rFonts w:cs="Arial"/>
                <w:sz w:val="22"/>
                <w:szCs w:val="22"/>
              </w:rPr>
              <w:t xml:space="preserve"> secondary </w:t>
            </w:r>
            <w:r w:rsidR="00C36212">
              <w:rPr>
                <w:rFonts w:cs="Arial"/>
                <w:sz w:val="22"/>
                <w:szCs w:val="22"/>
              </w:rPr>
              <w:t>role</w:t>
            </w:r>
            <w:r w:rsidR="009653D8">
              <w:rPr>
                <w:rFonts w:cs="Arial"/>
                <w:sz w:val="22"/>
                <w:szCs w:val="22"/>
              </w:rPr>
              <w:t xml:space="preserve"> is to</w:t>
            </w:r>
            <w:r w:rsidR="001279E2">
              <w:rPr>
                <w:rFonts w:cs="Arial"/>
                <w:sz w:val="22"/>
                <w:szCs w:val="22"/>
              </w:rPr>
              <w:t xml:space="preserve"> </w:t>
            </w:r>
            <w:r w:rsidR="00C36212">
              <w:rPr>
                <w:rFonts w:cs="Arial"/>
                <w:sz w:val="22"/>
                <w:szCs w:val="22"/>
              </w:rPr>
              <w:t>act</w:t>
            </w:r>
            <w:r w:rsidRPr="00485875">
              <w:rPr>
                <w:rFonts w:cs="Arial"/>
                <w:sz w:val="22"/>
                <w:szCs w:val="22"/>
              </w:rPr>
              <w:t xml:space="preserve"> a</w:t>
            </w:r>
            <w:r w:rsidR="00C36212">
              <w:rPr>
                <w:rFonts w:cs="Arial"/>
                <w:sz w:val="22"/>
                <w:szCs w:val="22"/>
              </w:rPr>
              <w:t>s</w:t>
            </w:r>
            <w:r w:rsidRPr="00485875">
              <w:rPr>
                <w:rFonts w:cs="Arial"/>
                <w:sz w:val="22"/>
                <w:szCs w:val="22"/>
              </w:rPr>
              <w:t xml:space="preserve"> </w:t>
            </w:r>
            <w:r w:rsidR="00C36212">
              <w:rPr>
                <w:rFonts w:cs="Arial"/>
                <w:sz w:val="22"/>
                <w:szCs w:val="22"/>
              </w:rPr>
              <w:t>an intelligence manager</w:t>
            </w:r>
            <w:r w:rsidRPr="00485875">
              <w:rPr>
                <w:rFonts w:cs="Arial"/>
                <w:sz w:val="22"/>
                <w:szCs w:val="22"/>
              </w:rPr>
              <w:t xml:space="preserve"> in one of the MIFC’s analytical teams, </w:t>
            </w:r>
            <w:r w:rsidR="00C36212">
              <w:rPr>
                <w:rFonts w:cs="Arial"/>
                <w:sz w:val="22"/>
                <w:szCs w:val="22"/>
              </w:rPr>
              <w:t xml:space="preserve">overseeing and </w:t>
            </w:r>
            <w:r w:rsidRPr="00485875">
              <w:rPr>
                <w:rFonts w:cs="Arial"/>
                <w:sz w:val="22"/>
                <w:szCs w:val="22"/>
              </w:rPr>
              <w:t xml:space="preserve">contributing to </w:t>
            </w:r>
            <w:r w:rsidR="001279E2">
              <w:rPr>
                <w:rFonts w:cs="Arial"/>
                <w:sz w:val="22"/>
                <w:szCs w:val="22"/>
              </w:rPr>
              <w:t>routine intelligence production</w:t>
            </w:r>
            <w:r w:rsidRPr="00485875">
              <w:rPr>
                <w:rFonts w:cs="Arial"/>
                <w:sz w:val="22"/>
                <w:szCs w:val="22"/>
              </w:rPr>
              <w:t xml:space="preserve"> and the management of junior analysts. </w:t>
            </w:r>
          </w:p>
          <w:p w14:paraId="2DBF3F1B" w14:textId="73F10780" w:rsidR="006113B7" w:rsidRPr="00ED6272" w:rsidRDefault="006113B7" w:rsidP="006113B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1AA372B3" w14:textId="77777777" w:rsidR="00582462" w:rsidRPr="00ED6272" w:rsidRDefault="00582462" w:rsidP="00582462">
      <w:pPr>
        <w:widowControl w:val="0"/>
        <w:autoSpaceDE w:val="0"/>
        <w:autoSpaceDN w:val="0"/>
        <w:adjustRightInd w:val="0"/>
        <w:ind w:right="115"/>
        <w:rPr>
          <w:rFonts w:cs="Arial"/>
          <w:b/>
          <w:bCs/>
          <w:color w:val="000000"/>
          <w:sz w:val="22"/>
          <w:szCs w:val="22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582462" w:rsidRPr="00ED6272" w14:paraId="4C83C08E" w14:textId="77777777" w:rsidTr="006F5130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0A4EF4" w14:textId="2D860F00" w:rsidR="00582462" w:rsidRPr="00ED6272" w:rsidRDefault="00582462" w:rsidP="00582462">
            <w:pPr>
              <w:widowControl w:val="0"/>
              <w:autoSpaceDE w:val="0"/>
              <w:autoSpaceDN w:val="0"/>
              <w:adjustRightInd w:val="0"/>
              <w:ind w:right="115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D6272">
              <w:rPr>
                <w:rFonts w:cs="Arial"/>
                <w:b/>
                <w:bCs/>
                <w:color w:val="000000"/>
                <w:sz w:val="22"/>
                <w:szCs w:val="22"/>
              </w:rPr>
              <w:t>Role</w:t>
            </w:r>
            <w:r w:rsidR="00530238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 w:rsidRPr="00ED627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and Responsibilities (these boxes will be cut/pasted into the JPA ‘Responsibilities’ field and will appear on page one of your SJAR):</w:t>
            </w:r>
          </w:p>
        </w:tc>
      </w:tr>
      <w:tr w:rsidR="009653D8" w:rsidRPr="00ED6272" w14:paraId="0AF8CB88" w14:textId="77777777" w:rsidTr="00457C63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8DC2" w14:textId="43887781" w:rsidR="009653D8" w:rsidRDefault="009653D8" w:rsidP="00ED6272">
            <w:pPr>
              <w:rPr>
                <w:rFonts w:cs="Arial"/>
                <w:sz w:val="22"/>
                <w:szCs w:val="22"/>
              </w:rPr>
            </w:pPr>
            <w:r w:rsidRPr="00485875">
              <w:rPr>
                <w:rFonts w:cs="Arial"/>
                <w:sz w:val="22"/>
                <w:szCs w:val="22"/>
              </w:rPr>
              <w:t xml:space="preserve">Support the </w:t>
            </w:r>
            <w:r w:rsidR="002E4471">
              <w:rPr>
                <w:rFonts w:cs="Arial"/>
                <w:sz w:val="22"/>
                <w:szCs w:val="22"/>
              </w:rPr>
              <w:t>C</w:t>
            </w:r>
            <w:r w:rsidRPr="00485875">
              <w:rPr>
                <w:rFonts w:cs="Arial"/>
                <w:sz w:val="22"/>
                <w:szCs w:val="22"/>
              </w:rPr>
              <w:t xml:space="preserve">ommand decision-making process for their operation / area of intelligence responsibility with predictive and timely intelligence assessments and subject matter knowledge. </w:t>
            </w:r>
          </w:p>
          <w:p w14:paraId="73CC983A" w14:textId="4F2EED40" w:rsidR="009653D8" w:rsidRPr="00485875" w:rsidRDefault="009653D8" w:rsidP="00ED6272">
            <w:pPr>
              <w:rPr>
                <w:rFonts w:cs="Arial"/>
                <w:sz w:val="22"/>
                <w:szCs w:val="22"/>
              </w:rPr>
            </w:pPr>
          </w:p>
        </w:tc>
      </w:tr>
      <w:tr w:rsidR="00485875" w:rsidRPr="00ED6272" w14:paraId="1BC0F80F" w14:textId="77777777" w:rsidTr="00457C63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5D398" w14:textId="179C90EE" w:rsidR="00485875" w:rsidRPr="00485875" w:rsidRDefault="00342406" w:rsidP="00ED62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Co-ordinate, manage and c</w:t>
            </w:r>
            <w:r w:rsidR="00485875" w:rsidRPr="00485875">
              <w:rPr>
                <w:rFonts w:cs="Arial"/>
                <w:sz w:val="22"/>
                <w:szCs w:val="22"/>
              </w:rPr>
              <w:t>onduct all-source intelligence analysis to support the production of timely intelligence assessments</w:t>
            </w:r>
            <w:r w:rsidR="002E4471">
              <w:rPr>
                <w:rFonts w:cs="Arial"/>
                <w:sz w:val="22"/>
                <w:szCs w:val="22"/>
              </w:rPr>
              <w:t xml:space="preserve"> and </w:t>
            </w:r>
            <w:r w:rsidR="00485875" w:rsidRPr="00485875">
              <w:rPr>
                <w:rFonts w:cs="Arial"/>
                <w:sz w:val="22"/>
                <w:szCs w:val="22"/>
              </w:rPr>
              <w:t xml:space="preserve">products and develop the N2/J2 understanding of the area of operation / area of intelligence responsibility. </w:t>
            </w:r>
          </w:p>
          <w:p w14:paraId="3099EA5E" w14:textId="793ACE36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</w:p>
        </w:tc>
      </w:tr>
      <w:tr w:rsidR="00485875" w:rsidRPr="00ED6272" w14:paraId="750F3E4B" w14:textId="77777777" w:rsidTr="00895386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C299A" w14:textId="77777777" w:rsidR="00485875" w:rsidRPr="00485875" w:rsidRDefault="00485875" w:rsidP="007D297D">
            <w:pPr>
              <w:rPr>
                <w:rFonts w:cs="Arial"/>
                <w:sz w:val="22"/>
                <w:szCs w:val="22"/>
              </w:rPr>
            </w:pPr>
            <w:r w:rsidRPr="00485875">
              <w:rPr>
                <w:rFonts w:cs="Arial"/>
                <w:sz w:val="22"/>
                <w:szCs w:val="22"/>
              </w:rPr>
              <w:t xml:space="preserve">In accordance with JSP 757, Volume 1, Annex B, act as 1RO and line manager to the junior analysts within your assigned MIFC analytical team. </w:t>
            </w:r>
          </w:p>
          <w:p w14:paraId="2884431B" w14:textId="226D6082" w:rsidR="00485875" w:rsidRPr="00485875" w:rsidRDefault="00485875" w:rsidP="007D297D">
            <w:pPr>
              <w:rPr>
                <w:rFonts w:cs="Arial"/>
                <w:sz w:val="22"/>
                <w:szCs w:val="22"/>
              </w:rPr>
            </w:pPr>
          </w:p>
        </w:tc>
      </w:tr>
      <w:tr w:rsidR="00485875" w:rsidRPr="00ED6272" w14:paraId="552DD67C" w14:textId="77777777" w:rsidTr="00F06780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EAADF" w14:textId="3DA6831B" w:rsidR="00485875" w:rsidRPr="00485875" w:rsidRDefault="00342406" w:rsidP="007D29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 the production of</w:t>
            </w:r>
            <w:r w:rsidR="00485875" w:rsidRPr="00485875">
              <w:rPr>
                <w:rFonts w:cs="Arial"/>
                <w:sz w:val="22"/>
                <w:szCs w:val="22"/>
              </w:rPr>
              <w:t xml:space="preserve"> fused intelligence to satisfy maritime intelligence requirements as directed by </w:t>
            </w:r>
            <w:r w:rsidR="002D5094">
              <w:rPr>
                <w:rFonts w:cs="Arial"/>
                <w:sz w:val="22"/>
                <w:szCs w:val="22"/>
              </w:rPr>
              <w:t xml:space="preserve">the </w:t>
            </w:r>
            <w:r w:rsidR="00485875" w:rsidRPr="00485875">
              <w:rPr>
                <w:rFonts w:cs="Arial"/>
                <w:sz w:val="22"/>
                <w:szCs w:val="22"/>
              </w:rPr>
              <w:t>RN Collections and PED Management Cell (RN CPMC).</w:t>
            </w:r>
          </w:p>
          <w:p w14:paraId="15400C8A" w14:textId="77777777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</w:p>
        </w:tc>
      </w:tr>
      <w:tr w:rsidR="00485875" w:rsidRPr="00ED6272" w14:paraId="2CD1C63E" w14:textId="77777777" w:rsidTr="00887F60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810B9" w14:textId="611B2876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  <w:r w:rsidRPr="00485875">
              <w:rPr>
                <w:rFonts w:cs="Arial"/>
                <w:sz w:val="22"/>
                <w:szCs w:val="22"/>
              </w:rPr>
              <w:t>Provide forward deployed or reach back N2 support to RN platforms, augmenting/enhancing their organic N2 capability on deliberate operations.</w:t>
            </w:r>
          </w:p>
          <w:p w14:paraId="047C3A35" w14:textId="6A63CE23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</w:p>
        </w:tc>
      </w:tr>
      <w:tr w:rsidR="00485875" w:rsidRPr="00ED6272" w14:paraId="39059AE4" w14:textId="77777777" w:rsidTr="001F42C1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AE059" w14:textId="77777777" w:rsidR="00485875" w:rsidRPr="00485875" w:rsidRDefault="00485875" w:rsidP="007D297D">
            <w:pPr>
              <w:rPr>
                <w:rFonts w:cs="Arial"/>
                <w:sz w:val="22"/>
                <w:szCs w:val="22"/>
              </w:rPr>
            </w:pPr>
            <w:r w:rsidRPr="00485875">
              <w:rPr>
                <w:rFonts w:cs="Arial"/>
                <w:sz w:val="22"/>
                <w:szCs w:val="22"/>
              </w:rPr>
              <w:t>Support your assigned unit in the FGEN process with provision of N2 products and pre-deployment briefs.</w:t>
            </w:r>
          </w:p>
          <w:p w14:paraId="6EB536D6" w14:textId="77777777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</w:p>
        </w:tc>
      </w:tr>
      <w:tr w:rsidR="00485875" w:rsidRPr="00ED6272" w14:paraId="0D8BEBFA" w14:textId="77777777" w:rsidTr="00257439">
        <w:trPr>
          <w:trHeight w:val="549"/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8D2E4" w14:textId="3B1B12DC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  <w:r w:rsidRPr="00485875">
              <w:rPr>
                <w:rFonts w:cs="Arial"/>
                <w:sz w:val="22"/>
                <w:szCs w:val="22"/>
              </w:rPr>
              <w:t xml:space="preserve">Liaise with the wider intelligence community to raise informal RFIs and source intelligence reporting to refine intelligence assessments and enhance the </w:t>
            </w:r>
            <w:r w:rsidR="002E4471">
              <w:rPr>
                <w:rFonts w:cs="Arial"/>
                <w:sz w:val="22"/>
                <w:szCs w:val="22"/>
              </w:rPr>
              <w:t>C</w:t>
            </w:r>
            <w:r w:rsidRPr="00485875">
              <w:rPr>
                <w:rFonts w:cs="Arial"/>
                <w:sz w:val="22"/>
                <w:szCs w:val="22"/>
              </w:rPr>
              <w:t>ommander’s situational awareness and understanding of their area of operation.</w:t>
            </w:r>
          </w:p>
          <w:p w14:paraId="73047867" w14:textId="090CB0D7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</w:p>
        </w:tc>
      </w:tr>
      <w:tr w:rsidR="00485875" w:rsidRPr="00ED6272" w14:paraId="3F13AE0F" w14:textId="77777777" w:rsidTr="000B6FA9">
        <w:trPr>
          <w:jc w:val="center"/>
        </w:trPr>
        <w:tc>
          <w:tcPr>
            <w:tcW w:w="9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23D37" w14:textId="17AE388D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  <w:r w:rsidRPr="00485875">
              <w:rPr>
                <w:rFonts w:cs="Arial"/>
                <w:sz w:val="22"/>
                <w:szCs w:val="22"/>
              </w:rPr>
              <w:t xml:space="preserve">Guide / mentor a </w:t>
            </w:r>
            <w:r w:rsidR="002E4471">
              <w:rPr>
                <w:rFonts w:cs="Arial"/>
                <w:sz w:val="22"/>
                <w:szCs w:val="22"/>
              </w:rPr>
              <w:t>U</w:t>
            </w:r>
            <w:r w:rsidRPr="00485875">
              <w:rPr>
                <w:rFonts w:cs="Arial"/>
                <w:sz w:val="22"/>
                <w:szCs w:val="22"/>
              </w:rPr>
              <w:t xml:space="preserve">nit’s organic N2 assets, promoting best practice to improve capability and establish enduring N2 foundations to assist the platform once disembarked. </w:t>
            </w:r>
          </w:p>
          <w:p w14:paraId="79409EA9" w14:textId="685A606E" w:rsidR="00485875" w:rsidRPr="00485875" w:rsidRDefault="00485875" w:rsidP="00ED627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8A9697D" w14:textId="078F1C39" w:rsidR="00D541E5" w:rsidRPr="00ED6272" w:rsidRDefault="00D541E5" w:rsidP="00C20835">
      <w:pPr>
        <w:pStyle w:val="DWParaNum2"/>
        <w:numPr>
          <w:ilvl w:val="0"/>
          <w:numId w:val="0"/>
        </w:numPr>
        <w:rPr>
          <w:rFonts w:cs="Arial"/>
          <w:color w:val="000000" w:themeColor="text1"/>
          <w:sz w:val="22"/>
          <w:szCs w:val="22"/>
        </w:rPr>
      </w:pPr>
    </w:p>
    <w:sectPr w:rsidR="00D541E5" w:rsidRPr="00ED62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5EB8" w14:textId="77777777" w:rsidR="004C051A" w:rsidRDefault="004C051A">
      <w:r>
        <w:separator/>
      </w:r>
    </w:p>
  </w:endnote>
  <w:endnote w:type="continuationSeparator" w:id="0">
    <w:p w14:paraId="0653DD36" w14:textId="77777777" w:rsidR="004C051A" w:rsidRDefault="004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7AFB" w14:textId="1AD7F199" w:rsidR="000C6313" w:rsidRDefault="008C6C1D" w:rsidP="00460CC0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5C3EFD" wp14:editId="20FEAD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7" name="Text Box 7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1A7B7" w14:textId="467C1356" w:rsidR="008C6C1D" w:rsidRPr="008C6C1D" w:rsidRDefault="008C6C1D" w:rsidP="008C6C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C6C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C3E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-SENSITIVE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CB1A7B7" w14:textId="467C1356" w:rsidR="008C6C1D" w:rsidRPr="008C6C1D" w:rsidRDefault="008C6C1D" w:rsidP="008C6C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C6C1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6795">
      <w:rPr>
        <w:rStyle w:val="PageNumber"/>
      </w:rPr>
      <w:fldChar w:fldCharType="begin"/>
    </w:r>
    <w:r w:rsidR="00AF6795">
      <w:rPr>
        <w:rStyle w:val="PageNumber"/>
      </w:rPr>
      <w:instrText xml:space="preserve">PAGE  </w:instrText>
    </w:r>
    <w:r w:rsidR="00AF6795">
      <w:rPr>
        <w:rStyle w:val="PageNumber"/>
      </w:rPr>
      <w:fldChar w:fldCharType="end"/>
    </w:r>
  </w:p>
  <w:p w14:paraId="1881E9C5" w14:textId="77777777" w:rsidR="000C631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7541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781A2E5" w14:textId="079E3ED5" w:rsidR="005828F5" w:rsidRPr="006923E9" w:rsidRDefault="005828F5" w:rsidP="005828F5">
            <w:pPr>
              <w:pStyle w:val="Footer"/>
              <w:jc w:val="center"/>
              <w:rPr>
                <w:sz w:val="22"/>
                <w:szCs w:val="22"/>
              </w:rPr>
            </w:pPr>
            <w:r w:rsidRPr="006923E9">
              <w:rPr>
                <w:b/>
                <w:bCs/>
                <w:sz w:val="22"/>
                <w:szCs w:val="22"/>
              </w:rPr>
              <w:fldChar w:fldCharType="begin"/>
            </w:r>
            <w:r w:rsidRPr="006923E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6923E9">
              <w:rPr>
                <w:b/>
                <w:bCs/>
                <w:sz w:val="22"/>
                <w:szCs w:val="22"/>
              </w:rPr>
              <w:fldChar w:fldCharType="separate"/>
            </w:r>
            <w:r w:rsidRPr="006923E9">
              <w:rPr>
                <w:b/>
                <w:bCs/>
                <w:noProof/>
                <w:sz w:val="22"/>
                <w:szCs w:val="22"/>
              </w:rPr>
              <w:t>2</w:t>
            </w:r>
            <w:r w:rsidRPr="006923E9">
              <w:rPr>
                <w:b/>
                <w:bCs/>
                <w:sz w:val="22"/>
                <w:szCs w:val="22"/>
              </w:rPr>
              <w:fldChar w:fldCharType="end"/>
            </w:r>
            <w:r w:rsidRPr="006923E9">
              <w:rPr>
                <w:sz w:val="22"/>
                <w:szCs w:val="22"/>
              </w:rPr>
              <w:t xml:space="preserve"> of </w:t>
            </w:r>
            <w:r w:rsidRPr="006923E9">
              <w:rPr>
                <w:b/>
                <w:bCs/>
                <w:sz w:val="22"/>
                <w:szCs w:val="22"/>
              </w:rPr>
              <w:fldChar w:fldCharType="begin"/>
            </w:r>
            <w:r w:rsidRPr="006923E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6923E9">
              <w:rPr>
                <w:b/>
                <w:bCs/>
                <w:sz w:val="22"/>
                <w:szCs w:val="22"/>
              </w:rPr>
              <w:fldChar w:fldCharType="separate"/>
            </w:r>
            <w:r w:rsidRPr="006923E9">
              <w:rPr>
                <w:b/>
                <w:bCs/>
                <w:noProof/>
                <w:sz w:val="22"/>
                <w:szCs w:val="22"/>
              </w:rPr>
              <w:t>2</w:t>
            </w:r>
            <w:r w:rsidRPr="006923E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44EE0CB" w14:textId="6872FA2C" w:rsidR="005828F5" w:rsidRPr="006923E9" w:rsidRDefault="005828F5">
    <w:pPr>
      <w:pStyle w:val="Footer"/>
      <w:rPr>
        <w:sz w:val="22"/>
        <w:szCs w:val="22"/>
      </w:rPr>
    </w:pPr>
  </w:p>
  <w:p w14:paraId="1DF4495F" w14:textId="3CEC21CD" w:rsidR="005828F5" w:rsidRPr="006923E9" w:rsidRDefault="005828F5" w:rsidP="005828F5">
    <w:pPr>
      <w:pStyle w:val="Footer"/>
      <w:jc w:val="center"/>
      <w:rPr>
        <w:sz w:val="22"/>
        <w:szCs w:val="22"/>
      </w:rPr>
    </w:pPr>
    <w:r w:rsidRPr="006923E9">
      <w:rPr>
        <w:sz w:val="22"/>
        <w:szCs w:val="22"/>
      </w:rPr>
      <w:t>OFFICIAL-SENSITIVE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B44C" w14:textId="13D491AD" w:rsidR="000C6313" w:rsidRDefault="008C6C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E54335" wp14:editId="35EA36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6" name="Text Box 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B4AD9" w14:textId="56B341A5" w:rsidR="008C6C1D" w:rsidRPr="008C6C1D" w:rsidRDefault="008C6C1D" w:rsidP="008C6C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C6C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543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D3B4AD9" w14:textId="56B341A5" w:rsidR="008C6C1D" w:rsidRPr="008C6C1D" w:rsidRDefault="008C6C1D" w:rsidP="008C6C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C6C1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D84A" w14:textId="77777777" w:rsidR="004C051A" w:rsidRDefault="004C051A">
      <w:r>
        <w:separator/>
      </w:r>
    </w:p>
  </w:footnote>
  <w:footnote w:type="continuationSeparator" w:id="0">
    <w:p w14:paraId="631435F7" w14:textId="77777777" w:rsidR="004C051A" w:rsidRDefault="004C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496A" w14:textId="7AC23025" w:rsidR="000C6313" w:rsidRDefault="008C6C1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BDF6C7" wp14:editId="3A7BCA9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4" name="Text Box 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7846D" w14:textId="289014D4" w:rsidR="008C6C1D" w:rsidRPr="008C6C1D" w:rsidRDefault="008C6C1D" w:rsidP="008C6C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C6C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DF6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-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FA7846D" w14:textId="289014D4" w:rsidR="008C6C1D" w:rsidRPr="008C6C1D" w:rsidRDefault="008C6C1D" w:rsidP="008C6C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C6C1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9030" w14:textId="4056AA2A" w:rsidR="000C6313" w:rsidRPr="006923E9" w:rsidRDefault="006923E9" w:rsidP="006923E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OFFICIAL-SENSITIVE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ADAD" w14:textId="598556D7" w:rsidR="000C6313" w:rsidRDefault="008C6C1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6157BC" wp14:editId="75C87EB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4445"/>
              <wp:wrapNone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53029" w14:textId="2715436D" w:rsidR="008C6C1D" w:rsidRPr="008C6C1D" w:rsidRDefault="008C6C1D" w:rsidP="008C6C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C6C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15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-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9053029" w14:textId="2715436D" w:rsidR="008C6C1D" w:rsidRPr="008C6C1D" w:rsidRDefault="008C6C1D" w:rsidP="008C6C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C6C1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AA7"/>
    <w:multiLevelType w:val="hybridMultilevel"/>
    <w:tmpl w:val="C50A95D8"/>
    <w:lvl w:ilvl="0" w:tplc="3CC248CA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0C5BD3"/>
    <w:multiLevelType w:val="multilevel"/>
    <w:tmpl w:val="0EFC53B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83510AF"/>
    <w:multiLevelType w:val="multilevel"/>
    <w:tmpl w:val="BB982DC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E64975"/>
    <w:multiLevelType w:val="hybridMultilevel"/>
    <w:tmpl w:val="3B4C2E7A"/>
    <w:lvl w:ilvl="0" w:tplc="49580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EA5"/>
    <w:multiLevelType w:val="multilevel"/>
    <w:tmpl w:val="D5968A5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D2B289F"/>
    <w:multiLevelType w:val="hybridMultilevel"/>
    <w:tmpl w:val="5228578E"/>
    <w:lvl w:ilvl="0" w:tplc="7546613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3F753B9"/>
    <w:multiLevelType w:val="multilevel"/>
    <w:tmpl w:val="BB982DC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690728"/>
    <w:multiLevelType w:val="multilevel"/>
    <w:tmpl w:val="EDD21498"/>
    <w:lvl w:ilvl="0">
      <w:start w:val="1"/>
      <w:numFmt w:val="decimal"/>
      <w:pStyle w:val="StyleDWParaNum112ptBlack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5"/>
        </w:tabs>
        <w:ind w:left="568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</w:lvl>
  </w:abstractNum>
  <w:num w:numId="1" w16cid:durableId="1552620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113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619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4451287">
    <w:abstractNumId w:val="2"/>
  </w:num>
  <w:num w:numId="5" w16cid:durableId="2058503821">
    <w:abstractNumId w:val="0"/>
  </w:num>
  <w:num w:numId="6" w16cid:durableId="1090001935">
    <w:abstractNumId w:val="6"/>
  </w:num>
  <w:num w:numId="7" w16cid:durableId="597258406">
    <w:abstractNumId w:val="3"/>
  </w:num>
  <w:num w:numId="8" w16cid:durableId="1258636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5"/>
    <w:rsid w:val="00032148"/>
    <w:rsid w:val="00034C54"/>
    <w:rsid w:val="000B3FA4"/>
    <w:rsid w:val="000B4F57"/>
    <w:rsid w:val="000B5997"/>
    <w:rsid w:val="000D4EB2"/>
    <w:rsid w:val="000E0E16"/>
    <w:rsid w:val="000F3B96"/>
    <w:rsid w:val="001261CE"/>
    <w:rsid w:val="001279E2"/>
    <w:rsid w:val="00141CAC"/>
    <w:rsid w:val="00183D90"/>
    <w:rsid w:val="00196B6B"/>
    <w:rsid w:val="001E2CEB"/>
    <w:rsid w:val="00245A85"/>
    <w:rsid w:val="00294CA9"/>
    <w:rsid w:val="002D2B9D"/>
    <w:rsid w:val="002D5094"/>
    <w:rsid w:val="002E4471"/>
    <w:rsid w:val="00322C0B"/>
    <w:rsid w:val="0032734B"/>
    <w:rsid w:val="00342406"/>
    <w:rsid w:val="0035494F"/>
    <w:rsid w:val="003632BC"/>
    <w:rsid w:val="00370E45"/>
    <w:rsid w:val="00383F90"/>
    <w:rsid w:val="004006F4"/>
    <w:rsid w:val="0040545A"/>
    <w:rsid w:val="004371BA"/>
    <w:rsid w:val="0044266C"/>
    <w:rsid w:val="00454274"/>
    <w:rsid w:val="0045618D"/>
    <w:rsid w:val="00485875"/>
    <w:rsid w:val="004A1B5C"/>
    <w:rsid w:val="004C051A"/>
    <w:rsid w:val="004E62A2"/>
    <w:rsid w:val="004F2EC3"/>
    <w:rsid w:val="00530238"/>
    <w:rsid w:val="00572839"/>
    <w:rsid w:val="0057629D"/>
    <w:rsid w:val="00582462"/>
    <w:rsid w:val="005828F5"/>
    <w:rsid w:val="005961FF"/>
    <w:rsid w:val="005A10AF"/>
    <w:rsid w:val="005A3C98"/>
    <w:rsid w:val="005A57EA"/>
    <w:rsid w:val="005E2CBA"/>
    <w:rsid w:val="006113B7"/>
    <w:rsid w:val="006355C5"/>
    <w:rsid w:val="00653DE2"/>
    <w:rsid w:val="00656D12"/>
    <w:rsid w:val="00657A35"/>
    <w:rsid w:val="00670450"/>
    <w:rsid w:val="006713C3"/>
    <w:rsid w:val="00690BF6"/>
    <w:rsid w:val="006923E9"/>
    <w:rsid w:val="006950B7"/>
    <w:rsid w:val="00696091"/>
    <w:rsid w:val="006B370C"/>
    <w:rsid w:val="006E01CB"/>
    <w:rsid w:val="006F5130"/>
    <w:rsid w:val="00700EE5"/>
    <w:rsid w:val="00767488"/>
    <w:rsid w:val="007816F2"/>
    <w:rsid w:val="007877B9"/>
    <w:rsid w:val="007B4115"/>
    <w:rsid w:val="007D297D"/>
    <w:rsid w:val="007D4480"/>
    <w:rsid w:val="007F6A91"/>
    <w:rsid w:val="00843FD6"/>
    <w:rsid w:val="008B1D45"/>
    <w:rsid w:val="008C6C1D"/>
    <w:rsid w:val="00912C94"/>
    <w:rsid w:val="00964B9C"/>
    <w:rsid w:val="009653D8"/>
    <w:rsid w:val="00972F53"/>
    <w:rsid w:val="00973813"/>
    <w:rsid w:val="00997072"/>
    <w:rsid w:val="009D730A"/>
    <w:rsid w:val="00A12DB4"/>
    <w:rsid w:val="00A21E49"/>
    <w:rsid w:val="00A42856"/>
    <w:rsid w:val="00A650F5"/>
    <w:rsid w:val="00AB1244"/>
    <w:rsid w:val="00AB5E9E"/>
    <w:rsid w:val="00AF6795"/>
    <w:rsid w:val="00B36DB6"/>
    <w:rsid w:val="00B47CB2"/>
    <w:rsid w:val="00B50458"/>
    <w:rsid w:val="00B51A21"/>
    <w:rsid w:val="00B52205"/>
    <w:rsid w:val="00B611AB"/>
    <w:rsid w:val="00B67309"/>
    <w:rsid w:val="00B9747F"/>
    <w:rsid w:val="00BB6E03"/>
    <w:rsid w:val="00BE3DAB"/>
    <w:rsid w:val="00C01736"/>
    <w:rsid w:val="00C07A04"/>
    <w:rsid w:val="00C20835"/>
    <w:rsid w:val="00C36212"/>
    <w:rsid w:val="00C9760E"/>
    <w:rsid w:val="00CA76A6"/>
    <w:rsid w:val="00D15ABC"/>
    <w:rsid w:val="00D15D33"/>
    <w:rsid w:val="00D24E98"/>
    <w:rsid w:val="00D461FD"/>
    <w:rsid w:val="00D541E5"/>
    <w:rsid w:val="00D54764"/>
    <w:rsid w:val="00DB22D6"/>
    <w:rsid w:val="00DB3823"/>
    <w:rsid w:val="00DD2CC5"/>
    <w:rsid w:val="00E12F7F"/>
    <w:rsid w:val="00E4446E"/>
    <w:rsid w:val="00E728E6"/>
    <w:rsid w:val="00EA2606"/>
    <w:rsid w:val="00EB08DB"/>
    <w:rsid w:val="00ED6272"/>
    <w:rsid w:val="00EF4067"/>
    <w:rsid w:val="00F175A3"/>
    <w:rsid w:val="00F3232E"/>
    <w:rsid w:val="00FD028D"/>
    <w:rsid w:val="00FE3FAF"/>
    <w:rsid w:val="207EEB0C"/>
    <w:rsid w:val="4EDD4BC7"/>
    <w:rsid w:val="62C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C3E59"/>
  <w15:chartTrackingRefBased/>
  <w15:docId w15:val="{DC13F65A-A0B7-4B9C-8349-8B4C984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41E5"/>
    <w:pPr>
      <w:keepNext/>
      <w:tabs>
        <w:tab w:val="left" w:pos="540"/>
        <w:tab w:val="left" w:pos="1080"/>
        <w:tab w:val="left" w:pos="3780"/>
      </w:tabs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D541E5"/>
    <w:pPr>
      <w:keepNext/>
      <w:tabs>
        <w:tab w:val="num" w:pos="900"/>
      </w:tabs>
      <w:ind w:left="360" w:hanging="360"/>
      <w:outlineLvl w:val="2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541E5"/>
    <w:pPr>
      <w:keepNext/>
      <w:jc w:val="righ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1E5"/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D541E5"/>
    <w:rPr>
      <w:rFonts w:ascii="Arial" w:eastAsia="Times New Roman" w:hAnsi="Arial" w:cs="Times New Roman"/>
      <w:b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D541E5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D54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541E5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D541E5"/>
    <w:pPr>
      <w:jc w:val="center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D541E5"/>
    <w:rPr>
      <w:rFonts w:ascii="Arial" w:eastAsia="Times New Roman" w:hAnsi="Arial" w:cs="Times New Roman"/>
      <w:b/>
      <w:sz w:val="24"/>
      <w:szCs w:val="24"/>
      <w:u w:val="single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D541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541E5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541E5"/>
    <w:pPr>
      <w:ind w:left="720"/>
    </w:pPr>
  </w:style>
  <w:style w:type="paragraph" w:customStyle="1" w:styleId="StyleDWParaNum112ptBlack">
    <w:name w:val="Style DW Para Num1 + 12 pt Black"/>
    <w:basedOn w:val="Normal"/>
    <w:rsid w:val="00D541E5"/>
    <w:pPr>
      <w:numPr>
        <w:numId w:val="1"/>
      </w:numPr>
    </w:pPr>
  </w:style>
  <w:style w:type="paragraph" w:customStyle="1" w:styleId="DWParaNum2">
    <w:name w:val="DW Para Num2"/>
    <w:basedOn w:val="Normal"/>
    <w:rsid w:val="00D541E5"/>
    <w:pPr>
      <w:numPr>
        <w:ilvl w:val="1"/>
        <w:numId w:val="1"/>
      </w:numPr>
    </w:pPr>
  </w:style>
  <w:style w:type="paragraph" w:customStyle="1" w:styleId="DWParaNum3">
    <w:name w:val="DW Para Num3"/>
    <w:basedOn w:val="Normal"/>
    <w:rsid w:val="00D541E5"/>
    <w:pPr>
      <w:numPr>
        <w:ilvl w:val="2"/>
        <w:numId w:val="1"/>
      </w:numPr>
    </w:pPr>
  </w:style>
  <w:style w:type="paragraph" w:customStyle="1" w:styleId="DWParaNum4">
    <w:name w:val="DW Para Num4"/>
    <w:basedOn w:val="Normal"/>
    <w:rsid w:val="00D541E5"/>
    <w:pPr>
      <w:numPr>
        <w:ilvl w:val="3"/>
        <w:numId w:val="1"/>
      </w:numPr>
    </w:pPr>
  </w:style>
  <w:style w:type="paragraph" w:customStyle="1" w:styleId="DWParaNum5">
    <w:name w:val="DW Para Num5"/>
    <w:basedOn w:val="Normal"/>
    <w:rsid w:val="00D541E5"/>
    <w:pPr>
      <w:numPr>
        <w:ilvl w:val="4"/>
        <w:numId w:val="1"/>
      </w:numPr>
    </w:pPr>
  </w:style>
  <w:style w:type="paragraph" w:styleId="Footer">
    <w:name w:val="footer"/>
    <w:basedOn w:val="Normal"/>
    <w:link w:val="FooterChar"/>
    <w:uiPriority w:val="99"/>
    <w:rsid w:val="00D541E5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541E5"/>
    <w:rPr>
      <w:rFonts w:ascii="Arial" w:eastAsia="SimSun" w:hAnsi="Arial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541E5"/>
  </w:style>
  <w:style w:type="paragraph" w:styleId="BalloonText">
    <w:name w:val="Balloon Text"/>
    <w:basedOn w:val="Normal"/>
    <w:link w:val="BalloonTextChar"/>
    <w:uiPriority w:val="99"/>
    <w:semiHidden/>
    <w:unhideWhenUsed/>
    <w:rsid w:val="002D2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9D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1A2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20f6e1-2b5e-4b4e-b11b-5216786d8b5a">
      <UserInfo>
        <DisplayName>Knight, Ella PO (NAVY INT-WYT MIFC DIV1 INTORT2A1)</DisplayName>
        <AccountId>799</AccountId>
        <AccountType/>
      </UserInfo>
      <UserInfo>
        <DisplayName>Martin, Stephen PO (NAVY INT-WYT MIFC DIV1 INTORT2A2)</DisplayName>
        <AccountId>2096</AccountId>
        <AccountType/>
      </UserInfo>
      <UserInfo>
        <DisplayName>Bostock, Craig PO (NAVY INT-WYT MIFC DIV1 INTORT1A1)</DisplayName>
        <AccountId>1342</AccountId>
        <AccountType/>
      </UserInfo>
      <UserInfo>
        <DisplayName>Chapman, Colin PO (NAVY INT-WYT MIFC DIV1 INTORT1A4)</DisplayName>
        <AccountId>700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2C50A01DD3241B04F4805C4FE09BC" ma:contentTypeVersion="6" ma:contentTypeDescription="Create a new document." ma:contentTypeScope="" ma:versionID="b1cc2178bb39a51ef39b6eb8e03200b1">
  <xsd:schema xmlns:xsd="http://www.w3.org/2001/XMLSchema" xmlns:xs="http://www.w3.org/2001/XMLSchema" xmlns:p="http://schemas.microsoft.com/office/2006/metadata/properties" xmlns:ns2="bbdcf863-368c-472b-8952-5c94e37614a5" xmlns:ns3="ef20f6e1-2b5e-4b4e-b11b-5216786d8b5a" targetNamespace="http://schemas.microsoft.com/office/2006/metadata/properties" ma:root="true" ma:fieldsID="5fc24eb1455bc88234e1c801dc7b2c53" ns2:_="" ns3:_="">
    <xsd:import namespace="bbdcf863-368c-472b-8952-5c94e37614a5"/>
    <xsd:import namespace="ef20f6e1-2b5e-4b4e-b11b-5216786d8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cf863-368c-472b-8952-5c94e3761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0f6e1-2b5e-4b4e-b11b-5216786d8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18C97-E293-4329-A9FC-233CD9910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171CC-7459-418C-BD65-BC56D668B09D}">
  <ds:schemaRefs>
    <ds:schemaRef ds:uri="http://schemas.microsoft.com/office/2006/metadata/properties"/>
    <ds:schemaRef ds:uri="http://schemas.microsoft.com/office/infopath/2007/PartnerControls"/>
    <ds:schemaRef ds:uri="ef20f6e1-2b5e-4b4e-b11b-5216786d8b5a"/>
  </ds:schemaRefs>
</ds:datastoreItem>
</file>

<file path=customXml/itemProps3.xml><?xml version="1.0" encoding="utf-8"?>
<ds:datastoreItem xmlns:ds="http://schemas.openxmlformats.org/officeDocument/2006/customXml" ds:itemID="{AE99EB37-0514-4820-9F30-09F6F35B0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cf863-368c-472b-8952-5c94e37614a5"/>
    <ds:schemaRef ds:uri="ef20f6e1-2b5e-4b4e-b11b-5216786d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McGonnell, Christopher WO2 (NAVY INT-MIXG MIFC COORD)</dc:creator>
  <cp:keywords/>
  <dc:description/>
  <cp:lastModifiedBy>Maund, Belinda CPO (NAVY INT-MIXG HQ CLO)</cp:lastModifiedBy>
  <cp:revision>2</cp:revision>
  <cp:lastPrinted>2018-12-11T14:14:00Z</cp:lastPrinted>
  <dcterms:created xsi:type="dcterms:W3CDTF">2023-05-15T13:06:00Z</dcterms:created>
  <dcterms:modified xsi:type="dcterms:W3CDTF">2023-05-15T13:06:00Z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100;#Security and intelligence|454c6382-8b4c-4e32-a24b-ef1720f13428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ContentTypeId">
    <vt:lpwstr>0x010100E8C2C50A01DD3241B04F4805C4FE09BC</vt:lpwstr>
  </property>
  <property fmtid="{D5CDD505-2E9C-101B-9397-08002B2CF9AE}" pid="6" name="ItemRetentionFormula">
    <vt:lpwstr/>
  </property>
  <property fmtid="{D5CDD505-2E9C-101B-9397-08002B2CF9AE}" pid="7" name="Business Owner">
    <vt:lpwstr>102;#MIFC|8fa0cf94-bc49-40c2-8d3e-1bc1ebe024c5</vt:lpwstr>
  </property>
  <property fmtid="{D5CDD505-2E9C-101B-9397-08002B2CF9AE}" pid="8" name="fileplanid">
    <vt:lpwstr>3;#04 Deliver the Unit's objectives|954cf193-6423-4137-9b07-8b4f402d8d43</vt:lpwstr>
  </property>
  <property fmtid="{D5CDD505-2E9C-101B-9397-08002B2CF9AE}" pid="9" name="Subject Keywords">
    <vt:lpwstr>101;#Security and intelligence|d7d34b06-27d7-4488-9368-d92c3f0060d4</vt:lpwstr>
  </property>
  <property fmtid="{D5CDD505-2E9C-101B-9397-08002B2CF9AE}" pid="10" name="AuthorIds_UIVersion_2">
    <vt:lpwstr>1091</vt:lpwstr>
  </property>
  <property fmtid="{D5CDD505-2E9C-101B-9397-08002B2CF9AE}" pid="11" name="Local KeywordsOOB">
    <vt:lpwstr>TORs</vt:lpwstr>
  </property>
  <property fmtid="{D5CDD505-2E9C-101B-9397-08002B2CF9AE}" pid="12" name="SecurityDescriptors">
    <vt:lpwstr>None</vt:lpwstr>
  </property>
  <property fmtid="{D5CDD505-2E9C-101B-9397-08002B2CF9AE}" pid="13" name="xd_Signature">
    <vt:bool>false</vt:bool>
  </property>
  <property fmtid="{D5CDD505-2E9C-101B-9397-08002B2CF9AE}" pid="14" name="d67af1ddf1dc47979d20c0eae491b81b">
    <vt:lpwstr>04 Deliver the Unit's objectives|954cf193-6423-4137-9b07-8b4f402d8d43</vt:lpwstr>
  </property>
  <property fmtid="{D5CDD505-2E9C-101B-9397-08002B2CF9AE}" pid="15" name="xd_ProgID">
    <vt:lpwstr/>
  </property>
  <property fmtid="{D5CDD505-2E9C-101B-9397-08002B2CF9AE}" pid="16" name="FOIExemption">
    <vt:lpwstr>No</vt:lpwstr>
  </property>
  <property fmtid="{D5CDD505-2E9C-101B-9397-08002B2CF9AE}" pid="17" name="n1f450bd0d644ca798bdc94626fdef4f">
    <vt:lpwstr>Security and intelligence|d7d34b06-27d7-4488-9368-d92c3f0060d4</vt:lpwstr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olicyIdentifier">
    <vt:lpwstr>UK</vt:lpwstr>
  </property>
  <property fmtid="{D5CDD505-2E9C-101B-9397-08002B2CF9AE}" pid="21" name="m79e07ce3690491db9121a08429fad40">
    <vt:lpwstr>MIFC|8fa0cf94-bc49-40c2-8d3e-1bc1ebe024c5</vt:lpwstr>
  </property>
  <property fmtid="{D5CDD505-2E9C-101B-9397-08002B2CF9AE}" pid="22" name="i71a74d1f9984201b479cc08077b6323">
    <vt:lpwstr>Security and intelligence|454c6382-8b4c-4e32-a24b-ef1720f13428</vt:lpwstr>
  </property>
  <property fmtid="{D5CDD505-2E9C-101B-9397-08002B2CF9AE}" pid="23" name="RetentionCategory">
    <vt:lpwstr>None</vt:lpwstr>
  </property>
  <property fmtid="{D5CDD505-2E9C-101B-9397-08002B2CF9AE}" pid="24" name="UKProtectiveMarking">
    <vt:lpwstr>OFFICIAL</vt:lpwstr>
  </property>
  <property fmtid="{D5CDD505-2E9C-101B-9397-08002B2CF9AE}" pid="25" name="ClassificationContentMarkingHeaderShapeIds">
    <vt:lpwstr>2,4,5</vt:lpwstr>
  </property>
  <property fmtid="{D5CDD505-2E9C-101B-9397-08002B2CF9AE}" pid="26" name="ClassificationContentMarkingHeaderFontProps">
    <vt:lpwstr>#000000,12,Calibri</vt:lpwstr>
  </property>
  <property fmtid="{D5CDD505-2E9C-101B-9397-08002B2CF9AE}" pid="27" name="ClassificationContentMarkingHeaderText">
    <vt:lpwstr>OFFICIAL-SENSITIVE</vt:lpwstr>
  </property>
  <property fmtid="{D5CDD505-2E9C-101B-9397-08002B2CF9AE}" pid="28" name="ClassificationContentMarkingFooterShapeIds">
    <vt:lpwstr>6,7,8</vt:lpwstr>
  </property>
  <property fmtid="{D5CDD505-2E9C-101B-9397-08002B2CF9AE}" pid="29" name="ClassificationContentMarkingFooterFontProps">
    <vt:lpwstr>#000000,12,Calibri</vt:lpwstr>
  </property>
  <property fmtid="{D5CDD505-2E9C-101B-9397-08002B2CF9AE}" pid="30" name="ClassificationContentMarkingFooterText">
    <vt:lpwstr>OFFICIAL-SENSITIVE</vt:lpwstr>
  </property>
  <property fmtid="{D5CDD505-2E9C-101B-9397-08002B2CF9AE}" pid="31" name="MSIP_Label_acea1cd8-edeb-4763-86bb-3f57f4fa0321_Enabled">
    <vt:lpwstr>true</vt:lpwstr>
  </property>
  <property fmtid="{D5CDD505-2E9C-101B-9397-08002B2CF9AE}" pid="32" name="MSIP_Label_acea1cd8-edeb-4763-86bb-3f57f4fa0321_SetDate">
    <vt:lpwstr>2022-11-08T10:53:10Z</vt:lpwstr>
  </property>
  <property fmtid="{D5CDD505-2E9C-101B-9397-08002B2CF9AE}" pid="33" name="MSIP_Label_acea1cd8-edeb-4763-86bb-3f57f4fa0321_Method">
    <vt:lpwstr>Privileged</vt:lpwstr>
  </property>
  <property fmtid="{D5CDD505-2E9C-101B-9397-08002B2CF9AE}" pid="34" name="MSIP_Label_acea1cd8-edeb-4763-86bb-3f57f4fa0321_Name">
    <vt:lpwstr>MOD-2-OS-OFFICIAL-SENSITIVE</vt:lpwstr>
  </property>
  <property fmtid="{D5CDD505-2E9C-101B-9397-08002B2CF9AE}" pid="35" name="MSIP_Label_acea1cd8-edeb-4763-86bb-3f57f4fa0321_SiteId">
    <vt:lpwstr>be7760ed-5953-484b-ae95-d0a16dfa09e5</vt:lpwstr>
  </property>
  <property fmtid="{D5CDD505-2E9C-101B-9397-08002B2CF9AE}" pid="36" name="MSIP_Label_acea1cd8-edeb-4763-86bb-3f57f4fa0321_ActionId">
    <vt:lpwstr>66f5bf48-4aa3-4c70-a4f7-d6aca3ba5fc1</vt:lpwstr>
  </property>
  <property fmtid="{D5CDD505-2E9C-101B-9397-08002B2CF9AE}" pid="37" name="MSIP_Label_acea1cd8-edeb-4763-86bb-3f57f4fa0321_ContentBits">
    <vt:lpwstr>3</vt:lpwstr>
  </property>
</Properties>
</file>